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E9" w:rsidRPr="00C313E9" w:rsidRDefault="00DC5006" w:rsidP="00C313E9">
      <w:pPr>
        <w:rPr>
          <w:rFonts w:ascii="Berling Antiqua" w:hAnsi="Berling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10160</wp:posOffset>
            </wp:positionV>
            <wp:extent cx="284480" cy="453390"/>
            <wp:effectExtent l="0" t="0" r="1270" b="3810"/>
            <wp:wrapSquare wrapText="bothSides"/>
            <wp:docPr id="3" name="Picture 3" descr="http://www.uen.org/utahlink/tours/admin/tour/17720/17720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en.org/utahlink/tours/admin/tour/17720/17720Swing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57658" r="66458" b="10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E9" w:rsidRPr="00C313E9">
        <w:rPr>
          <w:rFonts w:ascii="Berling Antiqua" w:hAnsi="Berling Antiqua"/>
          <w:b/>
          <w:sz w:val="22"/>
          <w:szCs w:val="22"/>
        </w:rPr>
        <w:t xml:space="preserve">Literary Arts </w:t>
      </w:r>
      <w:r w:rsidR="00851519">
        <w:rPr>
          <w:rFonts w:ascii="Berling Antiqua" w:hAnsi="Berling Antiqua"/>
          <w:b/>
          <w:sz w:val="22"/>
          <w:szCs w:val="22"/>
        </w:rPr>
        <w:t>9</w:t>
      </w:r>
    </w:p>
    <w:p w:rsidR="00C667F5" w:rsidRPr="00C313E9" w:rsidRDefault="00C667F5" w:rsidP="00C313E9">
      <w:pPr>
        <w:jc w:val="both"/>
        <w:rPr>
          <w:rFonts w:ascii="Berling Antiqua" w:hAnsi="Berling Antiqua"/>
          <w:b/>
          <w:bCs/>
          <w:sz w:val="22"/>
          <w:szCs w:val="22"/>
        </w:rPr>
      </w:pPr>
      <w:r w:rsidRPr="00C313E9">
        <w:rPr>
          <w:rFonts w:ascii="Berling Antiqua" w:hAnsi="Berling Antiqua"/>
          <w:b/>
          <w:bCs/>
          <w:sz w:val="22"/>
          <w:szCs w:val="22"/>
        </w:rPr>
        <w:t xml:space="preserve">Rococo and Romantic Periods </w:t>
      </w:r>
    </w:p>
    <w:p w:rsidR="001F3D88" w:rsidRDefault="001F3D88" w:rsidP="003E677A">
      <w:pPr>
        <w:rPr>
          <w:rFonts w:ascii="Berling Antiqua" w:hAnsi="Berling Antiqua"/>
          <w:bCs/>
          <w:sz w:val="22"/>
          <w:szCs w:val="22"/>
          <w:u w:val="single"/>
        </w:rPr>
      </w:pPr>
    </w:p>
    <w:p w:rsidR="008F2687" w:rsidRPr="00C313E9" w:rsidRDefault="007F6C4F" w:rsidP="003E677A">
      <w:pPr>
        <w:rPr>
          <w:rFonts w:ascii="Berling Antiqua" w:hAnsi="Berling Antiqua"/>
          <w:bCs/>
          <w:sz w:val="22"/>
          <w:szCs w:val="22"/>
        </w:rPr>
      </w:pPr>
      <w:r w:rsidRPr="00C313E9">
        <w:rPr>
          <w:rFonts w:ascii="Berling Antiqua" w:hAnsi="Berling Antiqua"/>
          <w:bCs/>
          <w:sz w:val="22"/>
          <w:szCs w:val="22"/>
          <w:u w:val="single"/>
        </w:rPr>
        <w:t>Rococo (</w:t>
      </w:r>
      <w:r w:rsidR="008F2687" w:rsidRPr="00C313E9">
        <w:rPr>
          <w:rFonts w:ascii="Berling Antiqua" w:hAnsi="Berling Antiqua"/>
          <w:bCs/>
          <w:sz w:val="22"/>
          <w:szCs w:val="22"/>
          <w:u w:val="single"/>
        </w:rPr>
        <w:t xml:space="preserve">Regency period in </w:t>
      </w:r>
      <w:smartTag w:uri="urn:schemas-microsoft-com:office:smarttags" w:element="country-region">
        <w:smartTag w:uri="urn:schemas-microsoft-com:office:smarttags" w:element="place">
          <w:r w:rsidR="008F2687" w:rsidRPr="00C313E9">
            <w:rPr>
              <w:rFonts w:ascii="Berling Antiqua" w:hAnsi="Berling Antiqua"/>
              <w:bCs/>
              <w:sz w:val="22"/>
              <w:szCs w:val="22"/>
              <w:u w:val="single"/>
            </w:rPr>
            <w:t>England</w:t>
          </w:r>
        </w:smartTag>
      </w:smartTag>
      <w:r w:rsidR="008F2687" w:rsidRPr="00C313E9">
        <w:rPr>
          <w:rFonts w:ascii="Berling Antiqua" w:hAnsi="Berling Antiqua"/>
          <w:bCs/>
          <w:sz w:val="22"/>
          <w:szCs w:val="22"/>
          <w:u w:val="single"/>
        </w:rPr>
        <w:t>)</w:t>
      </w:r>
      <w:r w:rsidR="003E677A">
        <w:rPr>
          <w:rFonts w:ascii="Berling Antiqua" w:hAnsi="Berling Antiqua"/>
          <w:bCs/>
          <w:sz w:val="22"/>
          <w:szCs w:val="22"/>
        </w:rPr>
        <w:t xml:space="preserve"> - </w:t>
      </w:r>
      <w:r w:rsidR="009C2D9E" w:rsidRPr="00C313E9">
        <w:rPr>
          <w:rFonts w:ascii="Berling Antiqua" w:hAnsi="Berling Antiqua"/>
          <w:bCs/>
          <w:sz w:val="22"/>
          <w:szCs w:val="22"/>
        </w:rPr>
        <w:t>(</w:t>
      </w:r>
      <w:r w:rsidR="008F2687" w:rsidRPr="00C313E9">
        <w:rPr>
          <w:rFonts w:ascii="Berling Antiqua" w:hAnsi="Berling Antiqua"/>
          <w:bCs/>
          <w:sz w:val="22"/>
          <w:szCs w:val="22"/>
        </w:rPr>
        <w:t>Gone are the great religious and Classical themes of Baroque.</w:t>
      </w:r>
      <w:r w:rsidR="009C2D9E" w:rsidRPr="00C313E9">
        <w:rPr>
          <w:rFonts w:ascii="Berling Antiqua" w:hAnsi="Berling Antiqua"/>
          <w:bCs/>
          <w:sz w:val="22"/>
          <w:szCs w:val="22"/>
        </w:rPr>
        <w:t>)</w:t>
      </w:r>
      <w:r w:rsidR="008F2687" w:rsidRPr="00C313E9">
        <w:rPr>
          <w:rFonts w:ascii="Berling Antiqua" w:hAnsi="Berling Antiqua"/>
          <w:bCs/>
          <w:sz w:val="22"/>
          <w:szCs w:val="22"/>
        </w:rPr>
        <w:t xml:space="preserve"> </w:t>
      </w:r>
    </w:p>
    <w:p w:rsidR="007F6C4F" w:rsidRPr="00C313E9" w:rsidRDefault="007F6C4F">
      <w:pPr>
        <w:rPr>
          <w:rFonts w:ascii="Berling Antiqua" w:hAnsi="Berling Antiqua"/>
          <w:bCs/>
          <w:sz w:val="22"/>
          <w:szCs w:val="22"/>
        </w:rPr>
      </w:pPr>
    </w:p>
    <w:p w:rsidR="008F2687" w:rsidRDefault="008F2687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Context:</w:t>
      </w:r>
      <w:r w:rsidRPr="00C313E9">
        <w:rPr>
          <w:rFonts w:ascii="Berling Antiqua" w:hAnsi="Berling Antiqua"/>
          <w:sz w:val="22"/>
          <w:szCs w:val="22"/>
        </w:rPr>
        <w:t xml:space="preserve">  </w:t>
      </w:r>
      <w:r w:rsidR="009C2D9E" w:rsidRPr="00C313E9">
        <w:rPr>
          <w:rFonts w:ascii="Berling Antiqua" w:hAnsi="Berling Antiqua"/>
          <w:sz w:val="22"/>
          <w:szCs w:val="22"/>
        </w:rPr>
        <w:t>Revolution and</w:t>
      </w:r>
      <w:r w:rsidR="00B16374" w:rsidRPr="00C313E9">
        <w:rPr>
          <w:rFonts w:ascii="Berling Antiqua" w:hAnsi="Berling Antiqua"/>
          <w:sz w:val="22"/>
          <w:szCs w:val="22"/>
        </w:rPr>
        <w:t xml:space="preserve"> “The Enlightenment” </w:t>
      </w:r>
    </w:p>
    <w:p w:rsidR="003E677A" w:rsidRDefault="003E677A">
      <w:pPr>
        <w:rPr>
          <w:rFonts w:ascii="Berling Antiqua" w:hAnsi="Berling Antiqua"/>
          <w:sz w:val="22"/>
          <w:szCs w:val="22"/>
          <w:u w:val="single"/>
        </w:rPr>
      </w:pPr>
    </w:p>
    <w:p w:rsidR="008F2687" w:rsidRPr="00C313E9" w:rsidRDefault="003E677A" w:rsidP="003E677A">
      <w:pPr>
        <w:rPr>
          <w:rFonts w:ascii="Berling Antiqua" w:hAnsi="Berling Antiqua"/>
          <w:sz w:val="22"/>
          <w:szCs w:val="22"/>
        </w:rPr>
      </w:pPr>
      <w:r>
        <w:rPr>
          <w:rFonts w:ascii="Berling Antiqua" w:hAnsi="Berling Antiqua"/>
          <w:sz w:val="22"/>
          <w:szCs w:val="22"/>
          <w:u w:val="single"/>
        </w:rPr>
        <w:t xml:space="preserve">Stylistic </w:t>
      </w:r>
      <w:r w:rsidRPr="003E677A">
        <w:rPr>
          <w:rFonts w:ascii="Berling Antiqua" w:hAnsi="Berling Antiqua"/>
          <w:sz w:val="22"/>
          <w:szCs w:val="22"/>
          <w:u w:val="single"/>
        </w:rPr>
        <w:t>Characteristics</w:t>
      </w:r>
      <w:r>
        <w:rPr>
          <w:rFonts w:ascii="Berling Antiqua" w:hAnsi="Berling Antiqua"/>
          <w:sz w:val="22"/>
          <w:szCs w:val="22"/>
        </w:rPr>
        <w:t xml:space="preserve">: </w:t>
      </w:r>
      <w:r w:rsidR="008F2687" w:rsidRPr="003E677A">
        <w:rPr>
          <w:rFonts w:ascii="Berling Antiqua" w:hAnsi="Berling Antiqua"/>
          <w:sz w:val="22"/>
          <w:szCs w:val="22"/>
        </w:rPr>
        <w:t>Luxurious</w:t>
      </w:r>
      <w:r w:rsidR="008F2687" w:rsidRPr="00C313E9">
        <w:rPr>
          <w:rFonts w:ascii="Berling Antiqua" w:hAnsi="Berling Antiqua"/>
          <w:sz w:val="22"/>
          <w:szCs w:val="22"/>
        </w:rPr>
        <w:t>, frivolous, sensual, clever, witty, colorful, asymmetrical, decorative--  Plant and scroll motifs, charming scenes of carefree pleasure.</w:t>
      </w:r>
    </w:p>
    <w:p w:rsidR="008F2687" w:rsidRPr="00C313E9" w:rsidRDefault="008F2687">
      <w:pPr>
        <w:rPr>
          <w:rFonts w:ascii="Berling Antiqua" w:hAnsi="Berling Antiqua"/>
          <w:sz w:val="22"/>
          <w:szCs w:val="22"/>
          <w:u w:val="single"/>
        </w:rPr>
      </w:pPr>
    </w:p>
    <w:p w:rsidR="008F2687" w:rsidRDefault="008F2687">
      <w:pPr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Some important artists:</w:t>
      </w:r>
    </w:p>
    <w:p w:rsidR="00EF63AD" w:rsidRPr="00C313E9" w:rsidRDefault="00EF63AD">
      <w:pPr>
        <w:rPr>
          <w:rFonts w:ascii="Berling Antiqua" w:hAnsi="Berling Antiqua"/>
          <w:sz w:val="22"/>
          <w:szCs w:val="22"/>
          <w:u w:val="single"/>
        </w:rPr>
      </w:pPr>
    </w:p>
    <w:p w:rsidR="008F2687" w:rsidRPr="00C313E9" w:rsidRDefault="008F2687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Watte</w:t>
      </w:r>
      <w:r w:rsidR="00B75797">
        <w:rPr>
          <w:rFonts w:ascii="Berling Antiqua" w:hAnsi="Berling Antiqua"/>
          <w:sz w:val="22"/>
          <w:szCs w:val="22"/>
        </w:rPr>
        <w:t>au, Boucher, Fragonard, Hogarth, Gainsborough</w:t>
      </w:r>
    </w:p>
    <w:p w:rsidR="008F2687" w:rsidRPr="00C313E9" w:rsidRDefault="008F2687">
      <w:pPr>
        <w:rPr>
          <w:rFonts w:ascii="Berling Antiqua" w:hAnsi="Berling Antiqua"/>
          <w:sz w:val="22"/>
          <w:szCs w:val="22"/>
        </w:rPr>
      </w:pPr>
    </w:p>
    <w:p w:rsidR="008F2687" w:rsidRPr="00C313E9" w:rsidRDefault="008F2687">
      <w:pPr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Terms:</w:t>
      </w:r>
    </w:p>
    <w:p w:rsidR="008F2687" w:rsidRDefault="008F2687" w:rsidP="00851519">
      <w:pPr>
        <w:tabs>
          <w:tab w:val="left" w:pos="6837"/>
        </w:tabs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 xml:space="preserve">The French Academy  </w:t>
      </w:r>
      <w:r w:rsidR="00851519">
        <w:rPr>
          <w:rFonts w:ascii="Berling Antiqua" w:hAnsi="Berling Antiqua"/>
          <w:sz w:val="22"/>
          <w:szCs w:val="22"/>
        </w:rPr>
        <w:tab/>
      </w:r>
    </w:p>
    <w:p w:rsidR="0071273D" w:rsidRPr="00C313E9" w:rsidRDefault="0071273D">
      <w:pPr>
        <w:rPr>
          <w:rFonts w:ascii="Berling Antiqua" w:hAnsi="Berling Antiqua"/>
          <w:sz w:val="22"/>
          <w:szCs w:val="22"/>
        </w:rPr>
      </w:pPr>
    </w:p>
    <w:p w:rsidR="008F2687" w:rsidRDefault="008F2687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Pastels</w:t>
      </w:r>
    </w:p>
    <w:p w:rsidR="006C0C8C" w:rsidRDefault="006C0C8C">
      <w:pPr>
        <w:rPr>
          <w:rFonts w:ascii="Berling Antiqua" w:hAnsi="Berling Antiqua"/>
          <w:sz w:val="22"/>
          <w:szCs w:val="22"/>
        </w:rPr>
      </w:pPr>
    </w:p>
    <w:p w:rsidR="006C0C8C" w:rsidRDefault="006C0C8C">
      <w:pPr>
        <w:rPr>
          <w:rFonts w:ascii="Berling Antiqua" w:hAnsi="Berling Antiqua"/>
          <w:sz w:val="22"/>
          <w:szCs w:val="22"/>
        </w:rPr>
      </w:pPr>
      <w:r>
        <w:rPr>
          <w:rFonts w:ascii="Berling Antiqua" w:hAnsi="Berling Antiqua"/>
          <w:sz w:val="22"/>
          <w:szCs w:val="22"/>
        </w:rPr>
        <w:t>Folk Art</w:t>
      </w:r>
    </w:p>
    <w:p w:rsidR="006C0C8C" w:rsidRDefault="006C0C8C">
      <w:pPr>
        <w:rPr>
          <w:rFonts w:ascii="Berling Antiqua" w:hAnsi="Berling Antiqua"/>
          <w:sz w:val="22"/>
          <w:szCs w:val="22"/>
        </w:rPr>
      </w:pPr>
    </w:p>
    <w:p w:rsidR="006C0C8C" w:rsidRPr="006C0C8C" w:rsidRDefault="006C0C8C">
      <w:pPr>
        <w:rPr>
          <w:rFonts w:ascii="Berling Antiqua" w:hAnsi="Berling Antiqua"/>
          <w:b/>
          <w:i/>
          <w:sz w:val="22"/>
          <w:szCs w:val="22"/>
        </w:rPr>
      </w:pPr>
      <w:r>
        <w:rPr>
          <w:rFonts w:ascii="Berling Antiqua" w:hAnsi="Berling Antiqua"/>
          <w:b/>
          <w:i/>
          <w:sz w:val="22"/>
          <w:szCs w:val="22"/>
        </w:rPr>
        <w:t>The Tradition</w:t>
      </w:r>
    </w:p>
    <w:p w:rsidR="00B16374" w:rsidRPr="00C313E9" w:rsidRDefault="00B16374">
      <w:pPr>
        <w:rPr>
          <w:rFonts w:ascii="Berling Antiqua" w:hAnsi="Berling Antiqua"/>
          <w:sz w:val="22"/>
          <w:szCs w:val="22"/>
        </w:rPr>
      </w:pPr>
    </w:p>
    <w:p w:rsidR="008F2687" w:rsidRPr="007E1749" w:rsidRDefault="008F2687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  <w:u w:val="single"/>
        </w:rPr>
        <w:t>Romanticism</w:t>
      </w:r>
      <w:r w:rsidR="007F6C4F" w:rsidRPr="00C313E9">
        <w:rPr>
          <w:rFonts w:ascii="Berling Antiqua" w:hAnsi="Berling Antiqua"/>
          <w:b/>
          <w:sz w:val="22"/>
          <w:szCs w:val="22"/>
          <w:u w:val="single"/>
        </w:rPr>
        <w:t xml:space="preserve"> </w:t>
      </w:r>
      <w:r w:rsidR="007E1749">
        <w:rPr>
          <w:rFonts w:ascii="Berling Antiqua" w:hAnsi="Berling Antiqua"/>
          <w:sz w:val="22"/>
          <w:szCs w:val="22"/>
        </w:rPr>
        <w:t>(</w:t>
      </w:r>
      <w:r w:rsidR="007E1749" w:rsidRPr="007E1749">
        <w:rPr>
          <w:rFonts w:ascii="Berling Antiqua" w:hAnsi="Berling Antiqua"/>
          <w:i/>
          <w:sz w:val="22"/>
          <w:szCs w:val="22"/>
        </w:rPr>
        <w:t>began as a literary movement</w:t>
      </w:r>
      <w:r w:rsidR="007E1749">
        <w:rPr>
          <w:rFonts w:ascii="Berling Antiqua" w:hAnsi="Berling Antiqua"/>
          <w:sz w:val="22"/>
          <w:szCs w:val="22"/>
        </w:rPr>
        <w:t>)</w:t>
      </w:r>
    </w:p>
    <w:p w:rsidR="008F2687" w:rsidRPr="00C313E9" w:rsidRDefault="007F6C4F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A very expansive and inconsistent style….</w:t>
      </w:r>
      <w:r w:rsidR="0024752E" w:rsidRPr="00C313E9">
        <w:rPr>
          <w:rFonts w:ascii="Berling Antiqua" w:hAnsi="Berling Antiqua"/>
          <w:sz w:val="22"/>
          <w:szCs w:val="22"/>
        </w:rPr>
        <w:t xml:space="preserve">a shift from calculation to intuition </w:t>
      </w:r>
      <w:r w:rsidR="004B0400" w:rsidRPr="00C313E9">
        <w:rPr>
          <w:rFonts w:ascii="Berling Antiqua" w:hAnsi="Berling Antiqua"/>
          <w:sz w:val="22"/>
          <w:szCs w:val="22"/>
        </w:rPr>
        <w:t>……</w:t>
      </w:r>
    </w:p>
    <w:p w:rsidR="007F6C4F" w:rsidRDefault="007A77D9">
      <w:pPr>
        <w:rPr>
          <w:rFonts w:ascii="Berling Antiqua" w:hAnsi="Berling Antiqua"/>
          <w:sz w:val="22"/>
          <w:szCs w:val="22"/>
        </w:rPr>
      </w:pPr>
      <w:r>
        <w:rPr>
          <w:rFonts w:ascii="Berling Antiqua" w:hAnsi="Berling Antiqua"/>
          <w:sz w:val="22"/>
          <w:szCs w:val="22"/>
        </w:rPr>
        <w:t>Has 3 components:</w:t>
      </w:r>
    </w:p>
    <w:p w:rsidR="0071273D" w:rsidRPr="00C313E9" w:rsidRDefault="0071273D">
      <w:pPr>
        <w:rPr>
          <w:rFonts w:ascii="Berling Antiqua" w:hAnsi="Berling Antiqua"/>
          <w:sz w:val="22"/>
          <w:szCs w:val="22"/>
        </w:rPr>
      </w:pPr>
    </w:p>
    <w:p w:rsidR="007F6C4F" w:rsidRPr="00D6565D" w:rsidRDefault="007F6C4F" w:rsidP="00D6565D">
      <w:pPr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sz w:val="22"/>
          <w:szCs w:val="22"/>
          <w:u w:val="single"/>
        </w:rPr>
        <w:t>Neo-Classicism</w:t>
      </w:r>
      <w:r w:rsidRPr="00D6565D">
        <w:rPr>
          <w:rFonts w:ascii="Berling Antiqua" w:hAnsi="Berling Antiqua"/>
          <w:sz w:val="22"/>
          <w:szCs w:val="22"/>
        </w:rPr>
        <w:t xml:space="preserve"> (1750-1800)</w:t>
      </w:r>
    </w:p>
    <w:p w:rsidR="007F6C4F" w:rsidRPr="00D6565D" w:rsidRDefault="0071273D" w:rsidP="00D6565D">
      <w:pPr>
        <w:pStyle w:val="ListParagraph"/>
        <w:numPr>
          <w:ilvl w:val="0"/>
          <w:numId w:val="6"/>
        </w:numPr>
        <w:ind w:left="630"/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i/>
          <w:sz w:val="22"/>
          <w:szCs w:val="22"/>
        </w:rPr>
        <w:t>Characteristics</w:t>
      </w:r>
      <w:r w:rsidR="007F6C4F" w:rsidRPr="00D6565D">
        <w:rPr>
          <w:rFonts w:ascii="Berling Antiqua" w:hAnsi="Berling Antiqua"/>
          <w:i/>
          <w:sz w:val="22"/>
          <w:szCs w:val="22"/>
        </w:rPr>
        <w:t>:</w:t>
      </w:r>
      <w:r w:rsidR="007F6C4F" w:rsidRPr="00D6565D">
        <w:rPr>
          <w:rFonts w:ascii="Berling Antiqua" w:hAnsi="Berling Antiqua"/>
          <w:sz w:val="22"/>
          <w:szCs w:val="22"/>
        </w:rPr>
        <w:t xml:space="preserve"> (based in the discoveries of Pompeii and Herculaneum) serious, moral, heroic, severe, sober, rational, removed in ti</w:t>
      </w:r>
      <w:r w:rsidR="00B16374" w:rsidRPr="00D6565D">
        <w:rPr>
          <w:rFonts w:ascii="Berling Antiqua" w:hAnsi="Berling Antiqua"/>
          <w:sz w:val="22"/>
          <w:szCs w:val="22"/>
        </w:rPr>
        <w:t>m</w:t>
      </w:r>
      <w:r w:rsidR="007F6C4F" w:rsidRPr="00D6565D">
        <w:rPr>
          <w:rFonts w:ascii="Berling Antiqua" w:hAnsi="Berling Antiqua"/>
          <w:sz w:val="22"/>
          <w:szCs w:val="22"/>
        </w:rPr>
        <w:t xml:space="preserve">e and space, civic idealism, </w:t>
      </w:r>
      <w:r w:rsidR="007F3CBF" w:rsidRPr="00D6565D">
        <w:rPr>
          <w:rFonts w:ascii="Berling Antiqua" w:hAnsi="Berling Antiqua"/>
          <w:sz w:val="22"/>
          <w:szCs w:val="22"/>
        </w:rPr>
        <w:t>self-sacrifice</w:t>
      </w:r>
      <w:r w:rsidR="007F6C4F" w:rsidRPr="00D6565D">
        <w:rPr>
          <w:rFonts w:ascii="Berling Antiqua" w:hAnsi="Berling Antiqua"/>
          <w:sz w:val="22"/>
          <w:szCs w:val="22"/>
        </w:rPr>
        <w:t xml:space="preserve">  </w:t>
      </w:r>
    </w:p>
    <w:p w:rsidR="009C2D9E" w:rsidRPr="00D6565D" w:rsidRDefault="009C2D9E" w:rsidP="00D6565D">
      <w:pPr>
        <w:pStyle w:val="ListParagraph"/>
        <w:numPr>
          <w:ilvl w:val="0"/>
          <w:numId w:val="6"/>
        </w:numPr>
        <w:ind w:left="630"/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i/>
          <w:sz w:val="22"/>
          <w:szCs w:val="22"/>
        </w:rPr>
        <w:t>Subjects:</w:t>
      </w:r>
      <w:r w:rsidRPr="00D6565D">
        <w:rPr>
          <w:rFonts w:ascii="Berling Antiqua" w:hAnsi="Berling Antiqua"/>
          <w:sz w:val="22"/>
          <w:szCs w:val="22"/>
        </w:rPr>
        <w:t xml:space="preserve"> Mythology, Ancient History, Nature as it “should be” </w:t>
      </w:r>
    </w:p>
    <w:p w:rsidR="007F6C4F" w:rsidRPr="00D6565D" w:rsidRDefault="007F6C4F" w:rsidP="00D6565D">
      <w:pPr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sz w:val="22"/>
          <w:szCs w:val="22"/>
          <w:u w:val="single"/>
        </w:rPr>
        <w:t>Romantic</w:t>
      </w:r>
      <w:r w:rsidR="004B0400" w:rsidRPr="00D6565D">
        <w:rPr>
          <w:rFonts w:ascii="Berling Antiqua" w:hAnsi="Berling Antiqua"/>
          <w:sz w:val="22"/>
          <w:szCs w:val="22"/>
          <w:u w:val="single"/>
        </w:rPr>
        <w:t>ism</w:t>
      </w:r>
      <w:r w:rsidRPr="00D6565D">
        <w:rPr>
          <w:rFonts w:ascii="Berling Antiqua" w:hAnsi="Berling Antiqua"/>
          <w:sz w:val="22"/>
          <w:szCs w:val="22"/>
          <w:u w:val="single"/>
        </w:rPr>
        <w:t xml:space="preserve"> </w:t>
      </w:r>
      <w:r w:rsidRPr="00D6565D">
        <w:rPr>
          <w:rFonts w:ascii="Berling Antiqua" w:hAnsi="Berling Antiqua"/>
          <w:sz w:val="22"/>
          <w:szCs w:val="22"/>
        </w:rPr>
        <w:t>(1800-1840)</w:t>
      </w:r>
    </w:p>
    <w:p w:rsidR="007F6C4F" w:rsidRPr="00D6565D" w:rsidRDefault="0024752E" w:rsidP="00D6565D">
      <w:pPr>
        <w:pStyle w:val="ListParagraph"/>
        <w:numPr>
          <w:ilvl w:val="0"/>
          <w:numId w:val="6"/>
        </w:numPr>
        <w:ind w:left="630"/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i/>
          <w:sz w:val="22"/>
          <w:szCs w:val="22"/>
        </w:rPr>
        <w:t>Characteristics:</w:t>
      </w:r>
      <w:r w:rsidRPr="00D6565D">
        <w:rPr>
          <w:rFonts w:ascii="Berling Antiqua" w:hAnsi="Berling Antiqua"/>
          <w:sz w:val="22"/>
          <w:szCs w:val="22"/>
        </w:rPr>
        <w:t xml:space="preserve"> incorporates</w:t>
      </w:r>
      <w:r w:rsidR="007F6C4F" w:rsidRPr="00D6565D">
        <w:rPr>
          <w:rFonts w:ascii="Berling Antiqua" w:hAnsi="Berling Antiqua"/>
          <w:sz w:val="22"/>
          <w:szCs w:val="22"/>
        </w:rPr>
        <w:t xml:space="preserve"> the “</w:t>
      </w:r>
      <w:r w:rsidRPr="00D6565D">
        <w:rPr>
          <w:rFonts w:ascii="Berling Antiqua" w:hAnsi="Berling Antiqua"/>
          <w:sz w:val="22"/>
          <w:szCs w:val="22"/>
        </w:rPr>
        <w:t>sublime”, sentimental, sincere feelings, The “</w:t>
      </w:r>
      <w:proofErr w:type="spellStart"/>
      <w:r w:rsidRPr="00D6565D">
        <w:rPr>
          <w:rFonts w:ascii="Berling Antiqua" w:hAnsi="Berling Antiqua"/>
          <w:sz w:val="22"/>
          <w:szCs w:val="22"/>
        </w:rPr>
        <w:t>Gothick</w:t>
      </w:r>
      <w:proofErr w:type="spellEnd"/>
      <w:r w:rsidRPr="00D6565D">
        <w:rPr>
          <w:rFonts w:ascii="Berling Antiqua" w:hAnsi="Berling Antiqua"/>
          <w:sz w:val="22"/>
          <w:szCs w:val="22"/>
        </w:rPr>
        <w:t>” or Gothic</w:t>
      </w:r>
      <w:r w:rsidR="00C667F5" w:rsidRPr="00D6565D">
        <w:rPr>
          <w:rFonts w:ascii="Berling Antiqua" w:hAnsi="Berling Antiqua"/>
          <w:sz w:val="22"/>
          <w:szCs w:val="22"/>
        </w:rPr>
        <w:t>, interest</w:t>
      </w:r>
      <w:r w:rsidRPr="00D6565D">
        <w:rPr>
          <w:rFonts w:ascii="Berling Antiqua" w:hAnsi="Berling Antiqua"/>
          <w:sz w:val="22"/>
          <w:szCs w:val="22"/>
        </w:rPr>
        <w:t xml:space="preserve"> in past times, exotic, illogical, emotional</w:t>
      </w:r>
      <w:r w:rsidR="00F64489" w:rsidRPr="00D6565D">
        <w:rPr>
          <w:rFonts w:ascii="Berling Antiqua" w:hAnsi="Berling Antiqua"/>
          <w:sz w:val="22"/>
          <w:szCs w:val="22"/>
        </w:rPr>
        <w:t xml:space="preserve">, colorful </w:t>
      </w:r>
    </w:p>
    <w:p w:rsidR="007F6C4F" w:rsidRPr="00D6565D" w:rsidRDefault="007F6C4F" w:rsidP="00D6565D">
      <w:pPr>
        <w:rPr>
          <w:rFonts w:ascii="Berling Antiqua" w:hAnsi="Berling Antiqua"/>
          <w:sz w:val="22"/>
          <w:szCs w:val="22"/>
        </w:rPr>
      </w:pPr>
      <w:r w:rsidRPr="00D6565D">
        <w:rPr>
          <w:rFonts w:ascii="Berling Antiqua" w:hAnsi="Berling Antiqua"/>
          <w:sz w:val="22"/>
          <w:szCs w:val="22"/>
          <w:u w:val="single"/>
        </w:rPr>
        <w:t>Realism</w:t>
      </w:r>
      <w:r w:rsidR="00C667F5" w:rsidRPr="00D6565D">
        <w:rPr>
          <w:rFonts w:ascii="Berling Antiqua" w:hAnsi="Berling Antiqua"/>
          <w:sz w:val="22"/>
          <w:szCs w:val="22"/>
        </w:rPr>
        <w:t xml:space="preserve"> (1840-20</w:t>
      </w:r>
      <w:r w:rsidR="007A77D9" w:rsidRPr="00D6565D">
        <w:rPr>
          <w:rFonts w:ascii="Berling Antiqua" w:hAnsi="Berling Antiqua"/>
          <w:sz w:val="22"/>
          <w:szCs w:val="22"/>
        </w:rPr>
        <w:t>1</w:t>
      </w:r>
      <w:r w:rsidR="00F06171" w:rsidRPr="00D6565D">
        <w:rPr>
          <w:rFonts w:ascii="Berling Antiqua" w:hAnsi="Berling Antiqua"/>
          <w:sz w:val="22"/>
          <w:szCs w:val="22"/>
        </w:rPr>
        <w:t>7</w:t>
      </w:r>
      <w:r w:rsidR="00C667F5" w:rsidRPr="00D6565D">
        <w:rPr>
          <w:rFonts w:ascii="Berling Antiqua" w:hAnsi="Berling Antiqua"/>
          <w:sz w:val="22"/>
          <w:szCs w:val="22"/>
        </w:rPr>
        <w:t>?</w:t>
      </w:r>
      <w:r w:rsidRPr="00D6565D">
        <w:rPr>
          <w:rFonts w:ascii="Berling Antiqua" w:hAnsi="Berling Antiqua"/>
          <w:sz w:val="22"/>
          <w:szCs w:val="22"/>
        </w:rPr>
        <w:t>)</w:t>
      </w:r>
    </w:p>
    <w:p w:rsidR="00B16374" w:rsidRPr="00C313E9" w:rsidRDefault="00B16374">
      <w:pPr>
        <w:rPr>
          <w:rFonts w:ascii="Berling Antiqua" w:hAnsi="Berling Antiqua"/>
          <w:sz w:val="22"/>
          <w:szCs w:val="22"/>
        </w:rPr>
      </w:pPr>
    </w:p>
    <w:p w:rsidR="00B16374" w:rsidRPr="00C313E9" w:rsidRDefault="00B16374">
      <w:pPr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Some Artists:</w:t>
      </w:r>
    </w:p>
    <w:p w:rsidR="00D6565D" w:rsidRDefault="00D6565D" w:rsidP="001F3D88">
      <w:pPr>
        <w:spacing w:after="240"/>
        <w:rPr>
          <w:rFonts w:ascii="Berling Antiqua" w:hAnsi="Berling Antiqua"/>
          <w:sz w:val="22"/>
          <w:szCs w:val="22"/>
        </w:rPr>
        <w:sectPr w:rsidR="00D6565D" w:rsidSect="001F3D88">
          <w:type w:val="continuous"/>
          <w:pgSz w:w="12240" w:h="15840"/>
          <w:pgMar w:top="720" w:right="720" w:bottom="720" w:left="1008" w:header="720" w:footer="720" w:gutter="0"/>
          <w:cols w:space="720" w:equalWidth="0">
            <w:col w:w="10512" w:space="720"/>
          </w:cols>
          <w:docGrid w:linePitch="360"/>
        </w:sectPr>
      </w:pPr>
    </w:p>
    <w:p w:rsidR="00B16374" w:rsidRPr="00C313E9" w:rsidRDefault="00F64489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Benjamin West</w:t>
      </w:r>
      <w:r w:rsidR="001674E7" w:rsidRPr="00C313E9">
        <w:rPr>
          <w:rFonts w:ascii="Berling Antiqua" w:hAnsi="Berling Antiqua"/>
          <w:sz w:val="22"/>
          <w:szCs w:val="22"/>
        </w:rPr>
        <w:t xml:space="preserve">… </w:t>
      </w:r>
      <w:r w:rsidR="009C2D9E" w:rsidRPr="00C313E9">
        <w:rPr>
          <w:rFonts w:ascii="Berling Antiqua" w:hAnsi="Berling Antiqua"/>
          <w:sz w:val="22"/>
          <w:szCs w:val="22"/>
        </w:rPr>
        <w:t>(</w:t>
      </w:r>
      <w:r w:rsidR="00D6565D">
        <w:rPr>
          <w:rFonts w:ascii="Berling Antiqua" w:hAnsi="Berling Antiqua"/>
          <w:sz w:val="22"/>
          <w:szCs w:val="22"/>
        </w:rPr>
        <w:t xml:space="preserve">@ </w:t>
      </w:r>
      <w:r w:rsidR="009C2D9E" w:rsidRPr="00C313E9">
        <w:rPr>
          <w:rFonts w:ascii="Berling Antiqua" w:hAnsi="Berling Antiqua"/>
          <w:sz w:val="22"/>
          <w:szCs w:val="22"/>
        </w:rPr>
        <w:t>CW)</w:t>
      </w:r>
    </w:p>
    <w:p w:rsidR="00B16374" w:rsidRPr="00C313E9" w:rsidRDefault="00B16374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Gilbert Stuart</w:t>
      </w:r>
      <w:r w:rsidR="009C2D9E" w:rsidRPr="00C313E9">
        <w:rPr>
          <w:rFonts w:ascii="Berling Antiqua" w:hAnsi="Berling Antiqua"/>
          <w:sz w:val="22"/>
          <w:szCs w:val="22"/>
        </w:rPr>
        <w:t>…(</w:t>
      </w:r>
      <w:r w:rsidR="00D6565D">
        <w:rPr>
          <w:rFonts w:ascii="Berling Antiqua" w:hAnsi="Berling Antiqua"/>
          <w:sz w:val="22"/>
          <w:szCs w:val="22"/>
        </w:rPr>
        <w:t>@</w:t>
      </w:r>
      <w:r w:rsidR="00F64489" w:rsidRPr="00C313E9">
        <w:rPr>
          <w:rFonts w:ascii="Berling Antiqua" w:hAnsi="Berling Antiqua"/>
          <w:sz w:val="22"/>
          <w:szCs w:val="22"/>
        </w:rPr>
        <w:t xml:space="preserve"> </w:t>
      </w:r>
      <w:r w:rsidR="009C2D9E" w:rsidRPr="00C313E9">
        <w:rPr>
          <w:rFonts w:ascii="Berling Antiqua" w:hAnsi="Berling Antiqua"/>
          <w:sz w:val="22"/>
          <w:szCs w:val="22"/>
        </w:rPr>
        <w:t>CW)</w:t>
      </w:r>
    </w:p>
    <w:p w:rsidR="00B16374" w:rsidRPr="00C313E9" w:rsidRDefault="009C2D9E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 xml:space="preserve">Charles </w:t>
      </w:r>
      <w:r w:rsidR="00F64489" w:rsidRPr="00C313E9">
        <w:rPr>
          <w:rFonts w:ascii="Berling Antiqua" w:hAnsi="Berling Antiqua"/>
          <w:sz w:val="22"/>
          <w:szCs w:val="22"/>
        </w:rPr>
        <w:t>Wilson</w:t>
      </w:r>
      <w:r w:rsidRPr="00C313E9">
        <w:rPr>
          <w:rFonts w:ascii="Berling Antiqua" w:hAnsi="Berling Antiqua"/>
          <w:sz w:val="22"/>
          <w:szCs w:val="22"/>
        </w:rPr>
        <w:t xml:space="preserve"> Peale</w:t>
      </w:r>
      <w:r w:rsidR="00F06171">
        <w:rPr>
          <w:rFonts w:ascii="Berling Antiqua" w:hAnsi="Berling Antiqua"/>
          <w:sz w:val="22"/>
          <w:szCs w:val="22"/>
        </w:rPr>
        <w:t xml:space="preserve"> </w:t>
      </w:r>
      <w:r w:rsidRPr="00C313E9">
        <w:rPr>
          <w:rFonts w:ascii="Berling Antiqua" w:hAnsi="Berling Antiqua"/>
          <w:sz w:val="22"/>
          <w:szCs w:val="22"/>
        </w:rPr>
        <w:t>(</w:t>
      </w:r>
      <w:r w:rsidR="00D6565D">
        <w:rPr>
          <w:rFonts w:ascii="Berling Antiqua" w:hAnsi="Berling Antiqua"/>
          <w:sz w:val="22"/>
          <w:szCs w:val="22"/>
        </w:rPr>
        <w:t>@</w:t>
      </w:r>
      <w:r w:rsidR="00F64489" w:rsidRPr="00C313E9">
        <w:rPr>
          <w:rFonts w:ascii="Berling Antiqua" w:hAnsi="Berling Antiqua"/>
          <w:sz w:val="22"/>
          <w:szCs w:val="22"/>
        </w:rPr>
        <w:t xml:space="preserve"> </w:t>
      </w:r>
      <w:r w:rsidRPr="00C313E9">
        <w:rPr>
          <w:rFonts w:ascii="Berling Antiqua" w:hAnsi="Berling Antiqua"/>
          <w:sz w:val="22"/>
          <w:szCs w:val="22"/>
        </w:rPr>
        <w:t>CW)</w:t>
      </w:r>
    </w:p>
    <w:p w:rsidR="009C2D9E" w:rsidRPr="00C313E9" w:rsidRDefault="009C2D9E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David</w:t>
      </w:r>
    </w:p>
    <w:p w:rsidR="009C2D9E" w:rsidRPr="00C313E9" w:rsidRDefault="009C2D9E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Blake</w:t>
      </w:r>
    </w:p>
    <w:p w:rsidR="009C2D9E" w:rsidRDefault="009C2D9E" w:rsidP="001F3D88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Thomas Jefferson</w:t>
      </w:r>
    </w:p>
    <w:p w:rsidR="00B75797" w:rsidRPr="00C313E9" w:rsidRDefault="00B75797" w:rsidP="001F3D88">
      <w:pPr>
        <w:spacing w:after="240"/>
        <w:rPr>
          <w:rFonts w:ascii="Berling Antiqua" w:hAnsi="Berling Antiqua"/>
          <w:sz w:val="22"/>
          <w:szCs w:val="22"/>
        </w:rPr>
      </w:pPr>
      <w:r>
        <w:rPr>
          <w:rFonts w:ascii="Berling Antiqua" w:hAnsi="Berling Antiqua"/>
          <w:sz w:val="22"/>
          <w:szCs w:val="22"/>
        </w:rPr>
        <w:t>Nash</w:t>
      </w:r>
    </w:p>
    <w:p w:rsidR="00D6565D" w:rsidRDefault="00D6565D">
      <w:pPr>
        <w:rPr>
          <w:rFonts w:ascii="Berling Antiqua" w:hAnsi="Berling Antiqua"/>
          <w:sz w:val="22"/>
          <w:szCs w:val="22"/>
          <w:u w:val="single"/>
        </w:rPr>
        <w:sectPr w:rsidR="00D6565D" w:rsidSect="00D6565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9C2D9E" w:rsidRDefault="009C2D9E">
      <w:pPr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Terms:</w:t>
      </w:r>
    </w:p>
    <w:p w:rsidR="004B0400" w:rsidRPr="00C313E9" w:rsidRDefault="004B0400" w:rsidP="00EF63AD">
      <w:pPr>
        <w:numPr>
          <w:ilvl w:val="0"/>
          <w:numId w:val="5"/>
        </w:num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 xml:space="preserve">Revivals </w:t>
      </w:r>
    </w:p>
    <w:p w:rsidR="004B0400" w:rsidRPr="00C313E9" w:rsidRDefault="001F3D88" w:rsidP="00EF63AD">
      <w:pPr>
        <w:numPr>
          <w:ilvl w:val="0"/>
          <w:numId w:val="5"/>
        </w:numPr>
        <w:spacing w:after="120"/>
        <w:rPr>
          <w:rFonts w:ascii="Berling Antiqua" w:hAnsi="Berling Antiqua"/>
          <w:sz w:val="22"/>
          <w:szCs w:val="22"/>
        </w:rPr>
      </w:pPr>
      <w:r>
        <w:rPr>
          <w:rFonts w:ascii="Berling Antiqua" w:hAnsi="Berling Antiqua"/>
          <w:sz w:val="22"/>
          <w:szCs w:val="22"/>
        </w:rPr>
        <w:t xml:space="preserve">The SUBLIME – </w:t>
      </w:r>
      <w:r w:rsidR="004B0400" w:rsidRPr="00C313E9">
        <w:rPr>
          <w:rFonts w:ascii="Berling Antiqua" w:hAnsi="Berling Antiqua"/>
          <w:sz w:val="22"/>
          <w:szCs w:val="22"/>
        </w:rPr>
        <w:t>to experience life to the fullest-awe and terror (the terrible seen from a</w:t>
      </w:r>
      <w:r>
        <w:rPr>
          <w:rFonts w:ascii="Berling Antiqua" w:hAnsi="Berling Antiqua"/>
          <w:sz w:val="22"/>
          <w:szCs w:val="22"/>
        </w:rPr>
        <w:t xml:space="preserve"> safe distance can be exciting) – </w:t>
      </w:r>
      <w:r w:rsidR="004B0400" w:rsidRPr="00C313E9">
        <w:rPr>
          <w:rFonts w:ascii="Berling Antiqua" w:hAnsi="Berling Antiqua"/>
          <w:sz w:val="22"/>
          <w:szCs w:val="22"/>
        </w:rPr>
        <w:t xml:space="preserve">Nature can be part of the sublime. </w:t>
      </w:r>
    </w:p>
    <w:p w:rsidR="004B0400" w:rsidRPr="00C313E9" w:rsidRDefault="004B0400" w:rsidP="00EF63AD">
      <w:pPr>
        <w:numPr>
          <w:ilvl w:val="0"/>
          <w:numId w:val="5"/>
        </w:num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The Gothic (sublime and history mix)—includes interest in the fantastic, occult, grotesque, macabre</w:t>
      </w:r>
    </w:p>
    <w:p w:rsidR="003E677A" w:rsidRDefault="003E677A" w:rsidP="003E677A">
      <w:pPr>
        <w:rPr>
          <w:rFonts w:ascii="Berling Antiqua" w:hAnsi="Berling Antiqua"/>
          <w:b/>
          <w:sz w:val="22"/>
          <w:szCs w:val="22"/>
          <w:u w:val="single"/>
        </w:rPr>
        <w:sectPr w:rsidR="003E677A" w:rsidSect="001F3D88">
          <w:type w:val="continuous"/>
          <w:pgSz w:w="12240" w:h="15840"/>
          <w:pgMar w:top="720" w:right="720" w:bottom="720" w:left="1008" w:header="720" w:footer="720" w:gutter="0"/>
          <w:cols w:space="720" w:equalWidth="0">
            <w:col w:w="10512" w:space="720"/>
          </w:cols>
          <w:docGrid w:linePitch="360"/>
        </w:sectPr>
      </w:pPr>
    </w:p>
    <w:p w:rsidR="00D6565D" w:rsidRDefault="00D6565D">
      <w:pPr>
        <w:rPr>
          <w:rFonts w:ascii="Berling Antiqua" w:hAnsi="Berling Antiqua"/>
          <w:b/>
          <w:sz w:val="22"/>
          <w:szCs w:val="22"/>
          <w:u w:val="single"/>
        </w:rPr>
      </w:pPr>
      <w:r>
        <w:rPr>
          <w:rFonts w:ascii="Berling Antiqua" w:hAnsi="Berling Antiqua"/>
          <w:b/>
          <w:sz w:val="22"/>
          <w:szCs w:val="22"/>
          <w:u w:val="single"/>
        </w:rPr>
        <w:br w:type="page"/>
      </w:r>
    </w:p>
    <w:p w:rsidR="00E31D06" w:rsidRPr="00C313E9" w:rsidRDefault="00E31D06" w:rsidP="001F3D88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  <w:u w:val="single"/>
        </w:rPr>
        <w:lastRenderedPageBreak/>
        <w:t xml:space="preserve">More Romanticism:  </w:t>
      </w:r>
      <w:r w:rsidR="00093399" w:rsidRPr="00C313E9">
        <w:rPr>
          <w:rFonts w:ascii="Berling Antiqua" w:hAnsi="Berling Antiqua"/>
          <w:b/>
          <w:sz w:val="22"/>
          <w:szCs w:val="22"/>
          <w:u w:val="single"/>
        </w:rPr>
        <w:t>(19</w:t>
      </w:r>
      <w:r w:rsidR="00093399" w:rsidRPr="00C313E9">
        <w:rPr>
          <w:rFonts w:ascii="Berling Antiqua" w:hAnsi="Berling Antiqua"/>
          <w:b/>
          <w:sz w:val="22"/>
          <w:szCs w:val="22"/>
          <w:u w:val="single"/>
          <w:vertAlign w:val="superscript"/>
        </w:rPr>
        <w:t>th</w:t>
      </w:r>
      <w:r w:rsidR="00093399" w:rsidRPr="00C313E9">
        <w:rPr>
          <w:rFonts w:ascii="Berling Antiqua" w:hAnsi="Berling Antiqua"/>
          <w:b/>
          <w:sz w:val="22"/>
          <w:szCs w:val="22"/>
          <w:u w:val="single"/>
        </w:rPr>
        <w:t xml:space="preserve"> century</w:t>
      </w:r>
      <w:r w:rsidR="001F3D88">
        <w:rPr>
          <w:rFonts w:ascii="Berling Antiqua" w:hAnsi="Berling Antiqua"/>
          <w:b/>
          <w:sz w:val="22"/>
          <w:szCs w:val="22"/>
          <w:u w:val="single"/>
        </w:rPr>
        <w:t>)</w:t>
      </w: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</w:p>
    <w:p w:rsidR="00E31D06" w:rsidRPr="00C313E9" w:rsidRDefault="00E31D06" w:rsidP="001F3D88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</w:rPr>
        <w:t xml:space="preserve">Concepts: </w:t>
      </w:r>
      <w:r w:rsidR="0071273D">
        <w:rPr>
          <w:rFonts w:ascii="Berling Antiqua" w:hAnsi="Berling Antiqua"/>
          <w:b/>
          <w:sz w:val="22"/>
          <w:szCs w:val="22"/>
        </w:rPr>
        <w:t xml:space="preserve"> </w:t>
      </w:r>
      <w:r w:rsidR="00D6565D">
        <w:rPr>
          <w:rFonts w:ascii="Berling Antiqua" w:hAnsi="Berling Antiqua"/>
          <w:sz w:val="22"/>
          <w:szCs w:val="22"/>
        </w:rPr>
        <w:t>a</w:t>
      </w:r>
      <w:r w:rsidRPr="00C313E9">
        <w:rPr>
          <w:rFonts w:ascii="Berling Antiqua" w:hAnsi="Berling Antiqua"/>
          <w:sz w:val="22"/>
          <w:szCs w:val="22"/>
        </w:rPr>
        <w:t xml:space="preserve">rt as </w:t>
      </w:r>
      <w:r w:rsidR="00D6565D">
        <w:rPr>
          <w:rFonts w:ascii="Berling Antiqua" w:hAnsi="Berling Antiqua"/>
          <w:sz w:val="22"/>
          <w:szCs w:val="22"/>
        </w:rPr>
        <w:t>p</w:t>
      </w:r>
      <w:r w:rsidRPr="00C313E9">
        <w:rPr>
          <w:rFonts w:ascii="Berling Antiqua" w:hAnsi="Berling Antiqua"/>
          <w:sz w:val="22"/>
          <w:szCs w:val="22"/>
        </w:rPr>
        <w:t>ropaganda</w:t>
      </w:r>
      <w:r w:rsidR="00D6565D">
        <w:rPr>
          <w:rFonts w:ascii="Berling Antiqua" w:hAnsi="Berling Antiqua"/>
          <w:sz w:val="22"/>
          <w:szCs w:val="22"/>
        </w:rPr>
        <w:t xml:space="preserve"> &amp;</w:t>
      </w:r>
      <w:r w:rsidRPr="00C313E9">
        <w:rPr>
          <w:rFonts w:ascii="Berling Antiqua" w:hAnsi="Berling Antiqua"/>
          <w:sz w:val="22"/>
          <w:szCs w:val="22"/>
        </w:rPr>
        <w:t xml:space="preserve"> artist</w:t>
      </w:r>
      <w:r w:rsidR="00D6565D">
        <w:rPr>
          <w:rFonts w:ascii="Berling Antiqua" w:hAnsi="Berling Antiqua"/>
          <w:sz w:val="22"/>
          <w:szCs w:val="22"/>
        </w:rPr>
        <w:t>s</w:t>
      </w:r>
      <w:r w:rsidRPr="00C313E9">
        <w:rPr>
          <w:rFonts w:ascii="Berling Antiqua" w:hAnsi="Berling Antiqua"/>
          <w:sz w:val="22"/>
          <w:szCs w:val="22"/>
        </w:rPr>
        <w:t xml:space="preserve"> without patrons</w:t>
      </w: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</w:p>
    <w:p w:rsidR="008E014A" w:rsidRDefault="008E014A" w:rsidP="00E31D06">
      <w:pPr>
        <w:rPr>
          <w:rFonts w:ascii="Berling Antiqua" w:hAnsi="Berling Antiqua"/>
          <w:b/>
          <w:sz w:val="22"/>
          <w:szCs w:val="22"/>
        </w:rPr>
        <w:sectPr w:rsidR="008E014A" w:rsidSect="001F3D88">
          <w:type w:val="continuous"/>
          <w:pgSz w:w="12240" w:h="15840"/>
          <w:pgMar w:top="720" w:right="720" w:bottom="720" w:left="1008" w:header="720" w:footer="720" w:gutter="0"/>
          <w:cols w:space="720" w:equalWidth="0">
            <w:col w:w="10512" w:space="720"/>
          </w:cols>
          <w:docGrid w:linePitch="360"/>
        </w:sectPr>
      </w:pPr>
    </w:p>
    <w:p w:rsidR="00E31D06" w:rsidRPr="00C313E9" w:rsidRDefault="00E31D06" w:rsidP="00E31D06">
      <w:pPr>
        <w:rPr>
          <w:rFonts w:ascii="Berling Antiqua" w:hAnsi="Berling Antiqua"/>
          <w:b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</w:rPr>
        <w:t>Some Artists: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Daumier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Goya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Gericault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Delacroix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Ingres</w:t>
      </w:r>
    </w:p>
    <w:p w:rsidR="0071273D" w:rsidRPr="00C313E9" w:rsidRDefault="0071273D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Turner</w:t>
      </w:r>
    </w:p>
    <w:p w:rsidR="00093399" w:rsidRPr="00C313E9" w:rsidRDefault="00093399" w:rsidP="00E31D06">
      <w:pPr>
        <w:rPr>
          <w:rFonts w:ascii="Berling Antiqua" w:hAnsi="Berling Antiqua"/>
          <w:b/>
          <w:sz w:val="22"/>
          <w:szCs w:val="22"/>
        </w:rPr>
      </w:pPr>
    </w:p>
    <w:p w:rsidR="00E31D06" w:rsidRPr="00C313E9" w:rsidRDefault="00E31D06" w:rsidP="00E31D06">
      <w:pPr>
        <w:rPr>
          <w:rFonts w:ascii="Berling Antiqua" w:hAnsi="Berling Antiqua"/>
          <w:b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</w:rPr>
        <w:t>Terms:</w:t>
      </w:r>
    </w:p>
    <w:p w:rsidR="00E31D06" w:rsidRPr="00C313E9" w:rsidRDefault="00E31D06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Oil sketch</w:t>
      </w:r>
    </w:p>
    <w:p w:rsidR="00E31D06" w:rsidRPr="00C313E9" w:rsidRDefault="00E31D06" w:rsidP="0071273D">
      <w:pPr>
        <w:spacing w:after="120"/>
        <w:rPr>
          <w:rFonts w:ascii="Berling Antiqua" w:hAnsi="Berling Antiqu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313E9">
            <w:rPr>
              <w:rFonts w:ascii="Berling Antiqua" w:hAnsi="Berling Antiqua"/>
              <w:sz w:val="22"/>
              <w:szCs w:val="22"/>
            </w:rPr>
            <w:t>Hudson River</w:t>
          </w:r>
        </w:smartTag>
        <w:r w:rsidRPr="00C313E9">
          <w:rPr>
            <w:rFonts w:ascii="Berling Antiqua" w:hAnsi="Berling Antiqua"/>
            <w:sz w:val="22"/>
            <w:szCs w:val="22"/>
          </w:rPr>
          <w:t xml:space="preserve"> </w:t>
        </w:r>
        <w:smartTag w:uri="urn:schemas-microsoft-com:office:smarttags" w:element="PlaceType">
          <w:r w:rsidRPr="00C313E9">
            <w:rPr>
              <w:rFonts w:ascii="Berling Antiqua" w:hAnsi="Berling Antiqua"/>
              <w:sz w:val="22"/>
              <w:szCs w:val="22"/>
            </w:rPr>
            <w:t>School</w:t>
          </w:r>
        </w:smartTag>
      </w:smartTag>
      <w:r w:rsidRPr="00C313E9">
        <w:rPr>
          <w:rFonts w:ascii="Berling Antiqua" w:hAnsi="Berling Antiqua"/>
          <w:sz w:val="22"/>
          <w:szCs w:val="22"/>
        </w:rPr>
        <w:t xml:space="preserve"> </w:t>
      </w:r>
    </w:p>
    <w:p w:rsidR="00093399" w:rsidRPr="00C313E9" w:rsidRDefault="00093399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Lithograph</w:t>
      </w:r>
    </w:p>
    <w:p w:rsidR="00093399" w:rsidRPr="00C313E9" w:rsidRDefault="00093399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Poster</w:t>
      </w:r>
    </w:p>
    <w:p w:rsidR="00084F74" w:rsidRPr="00C313E9" w:rsidRDefault="00084F74" w:rsidP="0071273D">
      <w:pPr>
        <w:spacing w:after="12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</w:rPr>
        <w:t>View paintings</w:t>
      </w:r>
    </w:p>
    <w:p w:rsidR="008E014A" w:rsidRDefault="008E014A" w:rsidP="00E31D06">
      <w:pPr>
        <w:rPr>
          <w:rFonts w:ascii="Berling Antiqua" w:hAnsi="Berling Antiqua"/>
          <w:sz w:val="22"/>
          <w:szCs w:val="22"/>
        </w:rPr>
        <w:sectPr w:rsidR="008E014A" w:rsidSect="008E014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</w:p>
    <w:p w:rsidR="00E31D06" w:rsidRPr="00C313E9" w:rsidRDefault="00093399" w:rsidP="00E31D06">
      <w:pPr>
        <w:rPr>
          <w:rFonts w:ascii="Berling Antiqua" w:hAnsi="Berling Antiqua"/>
          <w:b/>
          <w:sz w:val="22"/>
          <w:szCs w:val="22"/>
          <w:u w:val="single"/>
        </w:rPr>
      </w:pPr>
      <w:r w:rsidRPr="00C313E9">
        <w:rPr>
          <w:rFonts w:ascii="Berling Antiqua" w:hAnsi="Berling Antiqua"/>
          <w:b/>
          <w:sz w:val="22"/>
          <w:szCs w:val="22"/>
          <w:u w:val="single"/>
        </w:rPr>
        <w:t>(Second</w:t>
      </w:r>
      <w:r w:rsidR="00E31D06" w:rsidRPr="00C313E9">
        <w:rPr>
          <w:rFonts w:ascii="Berling Antiqua" w:hAnsi="Berling Antiqua"/>
          <w:b/>
          <w:sz w:val="22"/>
          <w:szCs w:val="22"/>
          <w:u w:val="single"/>
        </w:rPr>
        <w:t xml:space="preserve"> Half of the Nineteenth Century</w:t>
      </w:r>
      <w:r w:rsidRPr="00C313E9">
        <w:rPr>
          <w:rFonts w:ascii="Berling Antiqua" w:hAnsi="Berling Antiqua"/>
          <w:b/>
          <w:sz w:val="22"/>
          <w:szCs w:val="22"/>
          <w:u w:val="single"/>
        </w:rPr>
        <w:t>)</w:t>
      </w: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</w:rPr>
        <w:t>Context:</w:t>
      </w:r>
      <w:r w:rsidRPr="00C313E9">
        <w:rPr>
          <w:rFonts w:ascii="Berling Antiqua" w:hAnsi="Berling Antiqua"/>
          <w:sz w:val="22"/>
          <w:szCs w:val="22"/>
        </w:rPr>
        <w:t xml:space="preserve"> Marx, Dickens, Wordsworth </w:t>
      </w:r>
    </w:p>
    <w:p w:rsidR="00E31D06" w:rsidRPr="00C313E9" w:rsidRDefault="00E31D06" w:rsidP="00E31D06">
      <w:pPr>
        <w:rPr>
          <w:rFonts w:ascii="Berling Antiqua" w:hAnsi="Berling Antiqua"/>
          <w:sz w:val="22"/>
          <w:szCs w:val="22"/>
        </w:rPr>
      </w:pPr>
    </w:p>
    <w:p w:rsidR="00E31D06" w:rsidRPr="00C313E9" w:rsidRDefault="00E31D06" w:rsidP="00E31D06">
      <w:pPr>
        <w:rPr>
          <w:rFonts w:ascii="Berling Antiqua" w:hAnsi="Berling Antiqua"/>
          <w:b/>
          <w:sz w:val="22"/>
          <w:szCs w:val="22"/>
        </w:rPr>
      </w:pPr>
      <w:r w:rsidRPr="00C313E9">
        <w:rPr>
          <w:rFonts w:ascii="Berling Antiqua" w:hAnsi="Berling Antiqua"/>
          <w:b/>
          <w:sz w:val="22"/>
          <w:szCs w:val="22"/>
        </w:rPr>
        <w:t>Terms:</w:t>
      </w:r>
    </w:p>
    <w:p w:rsidR="00E31D06" w:rsidRPr="0071273D" w:rsidRDefault="0071273D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r>
        <w:rPr>
          <w:rFonts w:ascii="Berling Antiqua" w:hAnsi="Berling Antiqua"/>
          <w:sz w:val="22"/>
          <w:szCs w:val="22"/>
          <w:u w:val="single"/>
        </w:rPr>
        <w:t xml:space="preserve">Realism: </w:t>
      </w:r>
      <w:r w:rsidR="00E31D06" w:rsidRPr="0071273D">
        <w:rPr>
          <w:rFonts w:ascii="Berling Antiqua" w:hAnsi="Berling Antiqua"/>
          <w:i/>
          <w:iCs/>
          <w:sz w:val="20"/>
          <w:szCs w:val="20"/>
        </w:rPr>
        <w:t>Man has, throughout time, produced “real” art – now the issue is that the subject must be visible and of the current time.</w:t>
      </w:r>
      <w:r w:rsidR="00E31D06" w:rsidRPr="00C313E9">
        <w:rPr>
          <w:rFonts w:ascii="Berling Antiqua" w:hAnsi="Berling Antiqua"/>
          <w:sz w:val="22"/>
          <w:szCs w:val="22"/>
        </w:rPr>
        <w:t xml:space="preserve"> </w:t>
      </w:r>
    </w:p>
    <w:p w:rsidR="00E31D06" w:rsidRPr="00C313E9" w:rsidRDefault="00E31D06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C313E9">
            <w:rPr>
              <w:rFonts w:ascii="Berling Antiqua" w:hAnsi="Berling Antiqua"/>
              <w:sz w:val="22"/>
              <w:szCs w:val="22"/>
              <w:u w:val="single"/>
            </w:rPr>
            <w:t>Barbizon</w:t>
          </w:r>
        </w:smartTag>
        <w:r w:rsidRPr="00C313E9">
          <w:rPr>
            <w:rFonts w:ascii="Berling Antiqua" w:hAnsi="Berling Antiqua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313E9">
            <w:rPr>
              <w:rFonts w:ascii="Berling Antiqua" w:hAnsi="Berling Antiqua"/>
              <w:sz w:val="22"/>
              <w:szCs w:val="22"/>
              <w:u w:val="single"/>
            </w:rPr>
            <w:t>School</w:t>
          </w:r>
        </w:smartTag>
      </w:smartTag>
    </w:p>
    <w:p w:rsidR="00E31D06" w:rsidRPr="00C313E9" w:rsidRDefault="00E31D06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 xml:space="preserve">Pre-Raphaelites </w:t>
      </w:r>
    </w:p>
    <w:p w:rsidR="00E31D06" w:rsidRPr="00C313E9" w:rsidRDefault="00E31D06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Impressionism:</w:t>
      </w:r>
    </w:p>
    <w:p w:rsidR="00E31D06" w:rsidRPr="0071273D" w:rsidRDefault="00E31D06" w:rsidP="00EF63AD">
      <w:pPr>
        <w:numPr>
          <w:ilvl w:val="0"/>
          <w:numId w:val="1"/>
        </w:numPr>
        <w:spacing w:after="240"/>
        <w:rPr>
          <w:rFonts w:ascii="Berling Antiqua" w:hAnsi="Berling Antiqua"/>
          <w:sz w:val="20"/>
          <w:szCs w:val="20"/>
        </w:rPr>
      </w:pPr>
      <w:r w:rsidRPr="0071273D">
        <w:rPr>
          <w:rFonts w:ascii="Berling Antiqua" w:hAnsi="Berling Antiqua"/>
          <w:sz w:val="20"/>
          <w:szCs w:val="20"/>
        </w:rPr>
        <w:t>Characteristics – colored shadows, the effects of light on color, forms dissolve in light, optical mix, divided brush strokes.</w:t>
      </w:r>
    </w:p>
    <w:p w:rsidR="00E31D06" w:rsidRPr="0071273D" w:rsidRDefault="00E31D06" w:rsidP="00EF63AD">
      <w:pPr>
        <w:numPr>
          <w:ilvl w:val="0"/>
          <w:numId w:val="1"/>
        </w:numPr>
        <w:spacing w:after="240"/>
        <w:rPr>
          <w:rFonts w:ascii="Berling Antiqua" w:hAnsi="Berling Antiqua"/>
          <w:sz w:val="20"/>
          <w:szCs w:val="20"/>
        </w:rPr>
      </w:pPr>
      <w:r w:rsidRPr="0071273D">
        <w:rPr>
          <w:rFonts w:ascii="Berling Antiqua" w:hAnsi="Berling Antiqua"/>
          <w:sz w:val="20"/>
          <w:szCs w:val="20"/>
        </w:rPr>
        <w:t xml:space="preserve">Technology and Impressionism – camera, metal neck of brush, metal paint tube, palette of colors. </w:t>
      </w:r>
    </w:p>
    <w:p w:rsidR="00E31D06" w:rsidRPr="00C313E9" w:rsidRDefault="00E31D06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Post-Impressionism</w:t>
      </w:r>
    </w:p>
    <w:p w:rsidR="00E31D06" w:rsidRPr="00C313E9" w:rsidRDefault="00E31D06" w:rsidP="00EF63AD">
      <w:pPr>
        <w:spacing w:after="240"/>
        <w:rPr>
          <w:rFonts w:ascii="Berling Antiqua" w:hAnsi="Berling Antiqua"/>
          <w:sz w:val="22"/>
          <w:szCs w:val="22"/>
          <w:u w:val="single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 xml:space="preserve">Divisionism </w:t>
      </w:r>
    </w:p>
    <w:p w:rsidR="00991C8C" w:rsidRDefault="00E31D06" w:rsidP="00991C8C">
      <w:pPr>
        <w:spacing w:after="240"/>
        <w:rPr>
          <w:rFonts w:ascii="Berling Antiqua" w:hAnsi="Berling Antiqua"/>
          <w:sz w:val="22"/>
          <w:szCs w:val="22"/>
        </w:rPr>
      </w:pPr>
      <w:r w:rsidRPr="00C313E9">
        <w:rPr>
          <w:rFonts w:ascii="Berling Antiqua" w:hAnsi="Berling Antiqua"/>
          <w:sz w:val="22"/>
          <w:szCs w:val="22"/>
          <w:u w:val="single"/>
        </w:rPr>
        <w:t>Symbolism:</w:t>
      </w:r>
      <w:r w:rsidRPr="00C313E9">
        <w:rPr>
          <w:rFonts w:ascii="Berling Antiqua" w:hAnsi="Berling Antiqua"/>
          <w:sz w:val="22"/>
          <w:szCs w:val="22"/>
        </w:rPr>
        <w:t xml:space="preserve">   (passion, visionary </w:t>
      </w:r>
      <w:r w:rsidR="00C667F5" w:rsidRPr="00C313E9">
        <w:rPr>
          <w:rFonts w:ascii="Berling Antiqua" w:hAnsi="Berling Antiqua"/>
          <w:sz w:val="22"/>
          <w:szCs w:val="22"/>
        </w:rPr>
        <w:t>- Romantic</w:t>
      </w:r>
      <w:r w:rsidRPr="00C313E9">
        <w:rPr>
          <w:rFonts w:ascii="Berling Antiqua" w:hAnsi="Berling Antiqua"/>
          <w:sz w:val="22"/>
          <w:szCs w:val="22"/>
        </w:rPr>
        <w:t>)</w:t>
      </w:r>
    </w:p>
    <w:p w:rsidR="00E31D06" w:rsidRPr="00815056" w:rsidRDefault="00E31D06" w:rsidP="00991C8C">
      <w:pPr>
        <w:spacing w:after="240"/>
        <w:rPr>
          <w:rFonts w:ascii="Berling Antiqua" w:hAnsi="Berling Antiqua"/>
          <w:b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b/>
          <w:color w:val="FFFFFF" w:themeColor="background1"/>
          <w:sz w:val="22"/>
          <w:szCs w:val="22"/>
        </w:rPr>
        <w:t>Some Artists:</w:t>
      </w:r>
    </w:p>
    <w:p w:rsidR="003E677A" w:rsidRPr="00815056" w:rsidRDefault="003E677A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  <w:sectPr w:rsidR="003E677A" w:rsidRPr="00815056" w:rsidSect="001F3D88">
          <w:type w:val="continuous"/>
          <w:pgSz w:w="12240" w:h="15840"/>
          <w:pgMar w:top="720" w:right="720" w:bottom="720" w:left="1008" w:header="720" w:footer="720" w:gutter="0"/>
          <w:cols w:space="720" w:equalWidth="0">
            <w:col w:w="10512" w:space="720"/>
          </w:cols>
          <w:docGrid w:linePitch="360"/>
        </w:sectPr>
      </w:pP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Courbet</w:t>
      </w:r>
      <w:bookmarkStart w:id="0" w:name="_GoBack"/>
      <w:bookmarkEnd w:id="0"/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Homer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Sargent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Manet</w:t>
      </w:r>
    </w:p>
    <w:p w:rsidR="003E677A" w:rsidRPr="00815056" w:rsidRDefault="0071273D" w:rsidP="003E677A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Degas</w:t>
      </w:r>
    </w:p>
    <w:p w:rsidR="003E677A" w:rsidRPr="00815056" w:rsidRDefault="0071273D" w:rsidP="003E677A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Seurat</w:t>
      </w:r>
    </w:p>
    <w:p w:rsidR="0071273D" w:rsidRPr="00815056" w:rsidRDefault="003E677A" w:rsidP="003E677A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br w:type="column"/>
      </w:r>
      <w:r w:rsidR="0071273D" w:rsidRPr="00815056">
        <w:rPr>
          <w:rFonts w:ascii="Berling Antiqua" w:hAnsi="Berling Antiqua"/>
          <w:color w:val="FFFFFF" w:themeColor="background1"/>
          <w:sz w:val="22"/>
          <w:szCs w:val="22"/>
        </w:rPr>
        <w:t>Van Gogh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</w:rPr>
        <w:t>Gauguin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Toulouse-Lautrec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Cassatt</w:t>
      </w:r>
    </w:p>
    <w:p w:rsidR="0071273D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proofErr w:type="spellStart"/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Cezanne</w:t>
      </w:r>
      <w:proofErr w:type="spellEnd"/>
    </w:p>
    <w:p w:rsidR="003E677A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Munch</w:t>
      </w:r>
    </w:p>
    <w:p w:rsidR="009C68CF" w:rsidRPr="00815056" w:rsidRDefault="009C68CF" w:rsidP="003E677A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</w:p>
    <w:p w:rsidR="0071273D" w:rsidRPr="00815056" w:rsidRDefault="003E677A" w:rsidP="003E677A">
      <w:pPr>
        <w:spacing w:after="120"/>
        <w:rPr>
          <w:rFonts w:ascii="Berling Antiqua" w:hAnsi="Berling Antiqua"/>
          <w:color w:val="FFFFFF" w:themeColor="background1"/>
          <w:sz w:val="22"/>
          <w:szCs w:val="22"/>
          <w:lang w:val="fr-FR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br w:type="column"/>
      </w:r>
      <w:r w:rsidR="0071273D" w:rsidRPr="00815056">
        <w:rPr>
          <w:rFonts w:ascii="Berling Antiqua" w:hAnsi="Berling Antiqua"/>
          <w:color w:val="FFFFFF" w:themeColor="background1"/>
          <w:sz w:val="22"/>
          <w:szCs w:val="22"/>
          <w:lang w:val="fr-FR"/>
        </w:rPr>
        <w:t>Rodin</w:t>
      </w:r>
    </w:p>
    <w:p w:rsidR="007F6C4F" w:rsidRPr="00815056" w:rsidRDefault="0071273D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</w:rPr>
        <w:t>Eiffel</w:t>
      </w:r>
    </w:p>
    <w:p w:rsidR="00B75797" w:rsidRPr="00815056" w:rsidRDefault="00B75797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</w:rPr>
        <w:t>Renoir</w:t>
      </w:r>
    </w:p>
    <w:p w:rsidR="00B75797" w:rsidRPr="00815056" w:rsidRDefault="00B75797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</w:rPr>
        <w:t>Monet</w:t>
      </w:r>
    </w:p>
    <w:p w:rsidR="00B75797" w:rsidRPr="00815056" w:rsidRDefault="00B75797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</w:pPr>
      <w:r w:rsidRPr="00815056">
        <w:rPr>
          <w:rFonts w:ascii="Berling Antiqua" w:hAnsi="Berling Antiqua"/>
          <w:color w:val="FFFFFF" w:themeColor="background1"/>
          <w:sz w:val="22"/>
          <w:szCs w:val="22"/>
        </w:rPr>
        <w:t>Eakins</w:t>
      </w:r>
    </w:p>
    <w:p w:rsidR="009C68CF" w:rsidRPr="00815056" w:rsidRDefault="009C68CF" w:rsidP="0071273D">
      <w:pPr>
        <w:spacing w:after="120"/>
        <w:rPr>
          <w:rFonts w:ascii="Berling Antiqua" w:hAnsi="Berling Antiqua"/>
          <w:color w:val="FFFFFF" w:themeColor="background1"/>
          <w:sz w:val="22"/>
          <w:szCs w:val="22"/>
        </w:rPr>
        <w:sectPr w:rsidR="009C68CF" w:rsidRPr="00815056" w:rsidSect="003E677A">
          <w:type w:val="continuous"/>
          <w:pgSz w:w="12240" w:h="15840"/>
          <w:pgMar w:top="720" w:right="720" w:bottom="720" w:left="1008" w:header="720" w:footer="720" w:gutter="0"/>
          <w:cols w:num="3" w:space="720" w:equalWidth="0">
            <w:col w:w="3024" w:space="720"/>
            <w:col w:w="3024" w:space="720"/>
            <w:col w:w="3024"/>
          </w:cols>
          <w:docGrid w:linePitch="360"/>
        </w:sectPr>
      </w:pPr>
    </w:p>
    <w:p w:rsidR="00991C8C" w:rsidRDefault="00991C8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4860"/>
      </w:tblGrid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60"/>
              <w:rPr>
                <w:b/>
              </w:rPr>
            </w:pPr>
            <w:r>
              <w:rPr>
                <w:b/>
              </w:rPr>
              <w:lastRenderedPageBreak/>
              <w:t>ARTIST</w:t>
            </w:r>
            <w:r w:rsidRPr="00991C8C">
              <w:rPr>
                <w:b/>
              </w:rPr>
              <w:t xml:space="preserve">                          </w:t>
            </w:r>
          </w:p>
        </w:tc>
        <w:tc>
          <w:tcPr>
            <w:tcW w:w="3780" w:type="dxa"/>
          </w:tcPr>
          <w:p w:rsidR="00991C8C" w:rsidRPr="00991C8C" w:rsidRDefault="00991C8C" w:rsidP="006941B3">
            <w:pPr>
              <w:spacing w:after="60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4860" w:type="dxa"/>
          </w:tcPr>
          <w:p w:rsidR="00991C8C" w:rsidRPr="00991C8C" w:rsidRDefault="00991C8C" w:rsidP="006941B3">
            <w:pPr>
              <w:spacing w:after="6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Blake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Ancient of Days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Boucher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Cupid a Captive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Cassatt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The Boating Party 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Cezanne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Still Life with Peppermint Bottle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Courbet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Burial at </w:t>
            </w:r>
            <w:proofErr w:type="spellStart"/>
            <w:r w:rsidRPr="00991C8C">
              <w:rPr>
                <w:sz w:val="22"/>
              </w:rPr>
              <w:t>Ornans</w:t>
            </w:r>
            <w:proofErr w:type="spellEnd"/>
            <w:r w:rsidRPr="00991C8C">
              <w:rPr>
                <w:sz w:val="22"/>
              </w:rPr>
              <w:t xml:space="preserve">    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Daumier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Rue </w:t>
            </w:r>
            <w:proofErr w:type="spellStart"/>
            <w:r w:rsidRPr="00991C8C">
              <w:rPr>
                <w:sz w:val="22"/>
              </w:rPr>
              <w:t>Transnonain</w:t>
            </w:r>
            <w:proofErr w:type="spellEnd"/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David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The Death of Socrates 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Degas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Glass of Absinthe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Delacroix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Lion Hunt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Eakins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Gross Clinic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Eiffel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Eiffel Tower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Fragonard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Swing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Gainsborough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Jonathan </w:t>
            </w:r>
            <w:proofErr w:type="spellStart"/>
            <w:r w:rsidRPr="00991C8C">
              <w:rPr>
                <w:sz w:val="22"/>
              </w:rPr>
              <w:t>Buttle</w:t>
            </w:r>
            <w:proofErr w:type="spellEnd"/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Gauguin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Spirit of the Dead Watching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Gericault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Raft of the Medusa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Goya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Third of May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Hogarth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Marriage a la Mode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Homer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Fog Warning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Ingres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Grande Odalisque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proofErr w:type="spellStart"/>
            <w:r w:rsidRPr="00991C8C">
              <w:rPr>
                <w:sz w:val="22"/>
              </w:rPr>
              <w:t>Manet</w:t>
            </w:r>
            <w:proofErr w:type="spellEnd"/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Dejeuner sur </w:t>
            </w:r>
            <w:proofErr w:type="spellStart"/>
            <w:r w:rsidRPr="00991C8C">
              <w:rPr>
                <w:sz w:val="22"/>
              </w:rPr>
              <w:t>L’Herb</w:t>
            </w:r>
            <w:proofErr w:type="spellEnd"/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Monet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Rouen Cathedral, Full Sun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Munch 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Scream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Nash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Royal Pavilion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Renoir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Moulin de la </w:t>
            </w:r>
            <w:proofErr w:type="spellStart"/>
            <w:r w:rsidRPr="00991C8C">
              <w:rPr>
                <w:sz w:val="22"/>
              </w:rPr>
              <w:t>Galette</w:t>
            </w:r>
            <w:proofErr w:type="spellEnd"/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Rodin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The Burgers of Calais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Sargent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The Daughters of Edward Darley </w:t>
            </w:r>
            <w:proofErr w:type="spellStart"/>
            <w:r w:rsidRPr="00991C8C">
              <w:rPr>
                <w:sz w:val="22"/>
              </w:rPr>
              <w:t>Boit</w:t>
            </w:r>
            <w:proofErr w:type="spellEnd"/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  <w:lang w:val="fr-FR"/>
              </w:rPr>
            </w:pPr>
            <w:r w:rsidRPr="00991C8C">
              <w:rPr>
                <w:sz w:val="22"/>
                <w:lang w:val="fr-FR"/>
              </w:rPr>
              <w:t>Seurat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  <w:lang w:val="fr-FR"/>
              </w:rPr>
            </w:pPr>
            <w:r w:rsidRPr="00991C8C">
              <w:rPr>
                <w:sz w:val="22"/>
                <w:lang w:val="fr-FR"/>
              </w:rPr>
              <w:t>Sunday on La Grande Jatte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  <w:lang w:val="fr-FR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Toulouse-Lautrec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At the Moulin Rouge   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Turner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Slave Ship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Van Gogh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Starry Night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Watteau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 xml:space="preserve">Embarkation for </w:t>
            </w:r>
            <w:smartTag w:uri="urn:schemas-microsoft-com:office:smarttags" w:element="place">
              <w:r w:rsidRPr="00991C8C">
                <w:rPr>
                  <w:sz w:val="22"/>
                </w:rPr>
                <w:t>Cythera</w:t>
              </w:r>
            </w:smartTag>
            <w:r w:rsidRPr="00991C8C">
              <w:rPr>
                <w:sz w:val="22"/>
              </w:rPr>
              <w:t xml:space="preserve"> 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  <w:tr w:rsidR="00991C8C" w:rsidRPr="00991C8C" w:rsidTr="00815056">
        <w:tc>
          <w:tcPr>
            <w:tcW w:w="1818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  <w:r w:rsidRPr="00991C8C">
              <w:rPr>
                <w:sz w:val="22"/>
              </w:rPr>
              <w:t>West</w:t>
            </w:r>
          </w:p>
        </w:tc>
        <w:tc>
          <w:tcPr>
            <w:tcW w:w="3780" w:type="dxa"/>
          </w:tcPr>
          <w:p w:rsidR="00991C8C" w:rsidRPr="00991C8C" w:rsidRDefault="00991C8C" w:rsidP="00991C8C">
            <w:pPr>
              <w:spacing w:after="160"/>
              <w:rPr>
                <w:rFonts w:ascii="Berling Antiqua" w:hAnsi="Berling Antiqua"/>
                <w:sz w:val="20"/>
                <w:szCs w:val="22"/>
              </w:rPr>
            </w:pPr>
            <w:r w:rsidRPr="00991C8C">
              <w:rPr>
                <w:sz w:val="22"/>
              </w:rPr>
              <w:t>The Death of General Wolfe</w:t>
            </w:r>
          </w:p>
        </w:tc>
        <w:tc>
          <w:tcPr>
            <w:tcW w:w="4860" w:type="dxa"/>
          </w:tcPr>
          <w:p w:rsidR="00991C8C" w:rsidRPr="00991C8C" w:rsidRDefault="00991C8C" w:rsidP="00991C8C">
            <w:pPr>
              <w:spacing w:after="160"/>
              <w:rPr>
                <w:sz w:val="22"/>
              </w:rPr>
            </w:pPr>
          </w:p>
        </w:tc>
      </w:tr>
    </w:tbl>
    <w:p w:rsidR="008E014A" w:rsidRPr="008E014A" w:rsidRDefault="008E014A" w:rsidP="00991C8C">
      <w:pPr>
        <w:spacing w:after="60"/>
        <w:rPr>
          <w:rFonts w:ascii="Berling Antiqua" w:hAnsi="Berling Antiqua"/>
          <w:sz w:val="20"/>
          <w:szCs w:val="22"/>
        </w:rPr>
      </w:pPr>
    </w:p>
    <w:sectPr w:rsidR="008E014A" w:rsidRPr="008E014A" w:rsidSect="009C68CF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 Antiqua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9AE"/>
    <w:multiLevelType w:val="hybridMultilevel"/>
    <w:tmpl w:val="0BE22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BD"/>
    <w:multiLevelType w:val="hybridMultilevel"/>
    <w:tmpl w:val="977852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CB7"/>
    <w:multiLevelType w:val="multilevel"/>
    <w:tmpl w:val="C6A8D57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5B5"/>
    <w:multiLevelType w:val="hybridMultilevel"/>
    <w:tmpl w:val="C6A8D578"/>
    <w:lvl w:ilvl="0" w:tplc="A2AABFB6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F113B"/>
    <w:multiLevelType w:val="hybridMultilevel"/>
    <w:tmpl w:val="79484582"/>
    <w:lvl w:ilvl="0" w:tplc="F72A8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65"/>
    <w:multiLevelType w:val="hybridMultilevel"/>
    <w:tmpl w:val="B432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7"/>
    <w:rsid w:val="00084F74"/>
    <w:rsid w:val="00093399"/>
    <w:rsid w:val="001674E7"/>
    <w:rsid w:val="00187B8A"/>
    <w:rsid w:val="001F3D88"/>
    <w:rsid w:val="00243810"/>
    <w:rsid w:val="0024752E"/>
    <w:rsid w:val="003E677A"/>
    <w:rsid w:val="004570EA"/>
    <w:rsid w:val="004B0400"/>
    <w:rsid w:val="006C0C8C"/>
    <w:rsid w:val="0071273D"/>
    <w:rsid w:val="007A77D9"/>
    <w:rsid w:val="007E1749"/>
    <w:rsid w:val="007F3CBF"/>
    <w:rsid w:val="007F6C4F"/>
    <w:rsid w:val="00815056"/>
    <w:rsid w:val="00851519"/>
    <w:rsid w:val="008E014A"/>
    <w:rsid w:val="008F2687"/>
    <w:rsid w:val="00991C8C"/>
    <w:rsid w:val="009C2D9E"/>
    <w:rsid w:val="009C68CF"/>
    <w:rsid w:val="00B16374"/>
    <w:rsid w:val="00B75797"/>
    <w:rsid w:val="00C313E9"/>
    <w:rsid w:val="00C667F5"/>
    <w:rsid w:val="00D6565D"/>
    <w:rsid w:val="00D96A4C"/>
    <w:rsid w:val="00DC5006"/>
    <w:rsid w:val="00E31D06"/>
    <w:rsid w:val="00E570B5"/>
    <w:rsid w:val="00EF63AD"/>
    <w:rsid w:val="00F06171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2B7C40-2AC2-425B-8428-BC5744E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en.org/utahlink/tours/admin/tour/17720/17720Sw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52A5FD15.dotm</Template>
  <TotalTime>289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Rococo (Regency period in England)</vt:lpstr>
    </vt:vector>
  </TitlesOfParts>
  <Company>Home</Company>
  <LinksUpToDate>false</LinksUpToDate>
  <CharactersWithSpaces>3470</CharactersWithSpaces>
  <SharedDoc>false</SharedDoc>
  <HLinks>
    <vt:vector size="6" baseType="variant">
      <vt:variant>
        <vt:i4>1376339</vt:i4>
      </vt:variant>
      <vt:variant>
        <vt:i4>-1</vt:i4>
      </vt:variant>
      <vt:variant>
        <vt:i4>1027</vt:i4>
      </vt:variant>
      <vt:variant>
        <vt:i4>1</vt:i4>
      </vt:variant>
      <vt:variant>
        <vt:lpwstr>http://www.uen.org/utahlink/tours/admin/tour/17720/17720Swing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Rococo (Regency period in England)</dc:title>
  <dc:subject/>
  <dc:creator> </dc:creator>
  <cp:keywords/>
  <dc:description/>
  <cp:lastModifiedBy>Kingan, Renee</cp:lastModifiedBy>
  <cp:revision>11</cp:revision>
  <cp:lastPrinted>2012-04-10T11:12:00Z</cp:lastPrinted>
  <dcterms:created xsi:type="dcterms:W3CDTF">2012-04-10T11:14:00Z</dcterms:created>
  <dcterms:modified xsi:type="dcterms:W3CDTF">2017-05-03T16:45:00Z</dcterms:modified>
</cp:coreProperties>
</file>